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39" w:rsidRPr="00DF5439" w:rsidRDefault="00DF5439" w:rsidP="00DF5439"/>
    <w:p w:rsidR="00E01839" w:rsidRDefault="00E01839" w:rsidP="00A76504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firstLine="7513"/>
        <w:jc w:val="left"/>
        <w:rPr>
          <w:b w:val="0"/>
          <w:sz w:val="22"/>
          <w:szCs w:val="22"/>
        </w:rPr>
      </w:pPr>
    </w:p>
    <w:p w:rsidR="00E01839" w:rsidRDefault="00E01839" w:rsidP="00A76504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firstLine="7513"/>
        <w:jc w:val="left"/>
        <w:rPr>
          <w:b w:val="0"/>
          <w:sz w:val="22"/>
          <w:szCs w:val="22"/>
        </w:rPr>
      </w:pPr>
    </w:p>
    <w:p w:rsidR="000D5B96" w:rsidRPr="00FB7D78" w:rsidRDefault="00700EC6" w:rsidP="00A76504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firstLine="751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 9</w:t>
      </w:r>
    </w:p>
    <w:p w:rsidR="000D5B96" w:rsidRPr="00FB7D78" w:rsidRDefault="000D5B96" w:rsidP="00A76504">
      <w:pPr>
        <w:shd w:val="clear" w:color="auto" w:fill="FFFFFF"/>
        <w:spacing w:line="276" w:lineRule="auto"/>
        <w:ind w:firstLine="7513"/>
        <w:rPr>
          <w:bCs/>
          <w:color w:val="000000"/>
          <w:spacing w:val="-7"/>
          <w:sz w:val="22"/>
          <w:szCs w:val="22"/>
        </w:rPr>
      </w:pPr>
      <w:r w:rsidRPr="00FB7D78">
        <w:rPr>
          <w:bCs/>
          <w:color w:val="000000"/>
          <w:spacing w:val="-7"/>
          <w:sz w:val="22"/>
          <w:szCs w:val="22"/>
        </w:rPr>
        <w:t xml:space="preserve">к </w:t>
      </w:r>
      <w:r w:rsidR="00824C0E">
        <w:rPr>
          <w:bCs/>
          <w:color w:val="000000"/>
          <w:spacing w:val="-7"/>
          <w:sz w:val="22"/>
          <w:szCs w:val="22"/>
        </w:rPr>
        <w:t>договор</w:t>
      </w:r>
      <w:r w:rsidR="00C55727" w:rsidRPr="00FB7D78">
        <w:rPr>
          <w:bCs/>
          <w:color w:val="000000"/>
          <w:spacing w:val="-7"/>
          <w:sz w:val="22"/>
          <w:szCs w:val="22"/>
        </w:rPr>
        <w:t>у</w:t>
      </w:r>
      <w:r w:rsidRPr="00FB7D78">
        <w:rPr>
          <w:bCs/>
          <w:color w:val="000000"/>
          <w:spacing w:val="-7"/>
          <w:sz w:val="22"/>
          <w:szCs w:val="22"/>
        </w:rPr>
        <w:t xml:space="preserve"> №____________</w:t>
      </w:r>
    </w:p>
    <w:p w:rsidR="000D5B96" w:rsidRPr="00FB7D78" w:rsidRDefault="000D5B96" w:rsidP="00A76504">
      <w:pPr>
        <w:shd w:val="clear" w:color="auto" w:fill="FFFFFF"/>
        <w:spacing w:line="276" w:lineRule="auto"/>
        <w:ind w:firstLine="7513"/>
        <w:rPr>
          <w:bCs/>
          <w:color w:val="000000"/>
          <w:spacing w:val="-7"/>
          <w:sz w:val="22"/>
          <w:szCs w:val="22"/>
        </w:rPr>
      </w:pPr>
      <w:r w:rsidRPr="00FB7D78">
        <w:rPr>
          <w:bCs/>
          <w:color w:val="000000"/>
          <w:spacing w:val="-7"/>
          <w:sz w:val="22"/>
          <w:szCs w:val="22"/>
        </w:rPr>
        <w:t>от_____________20__г.</w:t>
      </w:r>
    </w:p>
    <w:p w:rsidR="000D5B96" w:rsidRDefault="000D5B96" w:rsidP="00A76504">
      <w:pPr>
        <w:spacing w:line="276" w:lineRule="auto"/>
        <w:rPr>
          <w:sz w:val="22"/>
          <w:szCs w:val="22"/>
        </w:rPr>
      </w:pPr>
    </w:p>
    <w:p w:rsidR="00DD0633" w:rsidRDefault="00DD0633" w:rsidP="00700EC6">
      <w:pPr>
        <w:ind w:firstLine="709"/>
        <w:jc w:val="center"/>
        <w:rPr>
          <w:b/>
          <w:bCs/>
          <w:sz w:val="22"/>
          <w:szCs w:val="22"/>
        </w:rPr>
      </w:pPr>
    </w:p>
    <w:p w:rsidR="00700EC6" w:rsidRPr="00B54C6A" w:rsidRDefault="00700EC6" w:rsidP="00700EC6">
      <w:pPr>
        <w:ind w:firstLine="709"/>
        <w:jc w:val="center"/>
        <w:rPr>
          <w:b/>
          <w:bCs/>
          <w:sz w:val="22"/>
          <w:szCs w:val="22"/>
        </w:rPr>
      </w:pPr>
      <w:r w:rsidRPr="00B54C6A">
        <w:rPr>
          <w:b/>
          <w:bCs/>
          <w:sz w:val="22"/>
          <w:szCs w:val="22"/>
        </w:rPr>
        <w:t>ПОРЯДОК ОПРЕДЕЛЕНИЯ ОБЪЕМОВ.</w:t>
      </w:r>
    </w:p>
    <w:p w:rsidR="00700EC6" w:rsidRPr="00B54C6A" w:rsidRDefault="00700EC6" w:rsidP="00700EC6">
      <w:pPr>
        <w:ind w:firstLine="567"/>
        <w:jc w:val="center"/>
        <w:rPr>
          <w:b/>
          <w:bCs/>
          <w:sz w:val="22"/>
          <w:szCs w:val="22"/>
        </w:rPr>
      </w:pPr>
    </w:p>
    <w:p w:rsidR="00700EC6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1. Объем потребления горячей воды, потребляемой Абонентом, определяется исходя из показаний коммерческих приборов учета или расчетным способом в соответствии с действующим законодательством и заключенным </w:t>
      </w:r>
      <w:r>
        <w:rPr>
          <w:rFonts w:cs="Arial CYR"/>
          <w:sz w:val="22"/>
          <w:szCs w:val="22"/>
        </w:rPr>
        <w:t>Договором</w:t>
      </w:r>
      <w:r w:rsidRPr="00B54C6A">
        <w:rPr>
          <w:rFonts w:cs="Arial CYR"/>
          <w:sz w:val="22"/>
          <w:szCs w:val="22"/>
        </w:rPr>
        <w:t xml:space="preserve">. </w:t>
      </w:r>
      <w:bookmarkStart w:id="0" w:name="_GoBack"/>
      <w:bookmarkEnd w:id="0"/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2. В случае установки прибора учета горячей воды в точке подключения (технологического присоединения) объем ресурса определяется на основании показаний приборов учета, принятых Организацией, осуществляющей горячее водоснабжение для коммерческих расчетов, перечисленных в Приложении № 5. </w:t>
      </w:r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>3. При установке приборов учета не на границе раздела эксплуатационной ответственности сетей, находящихся в управлении  Абонента и подводящих сетей горячего водоснабжения, согласно Приложению № 2, расчет объемов потребления горячей воды Абонентом производится с учетом потерь (Приложение № 8) на участке сети от границы раздела эксплуатационной ответственности до места установки коллективных приборов учета.</w:t>
      </w:r>
    </w:p>
    <w:p w:rsidR="00700EC6" w:rsidRPr="008A4A5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4. В случае </w:t>
      </w:r>
      <w:r w:rsidRPr="00B54C6A">
        <w:rPr>
          <w:sz w:val="22"/>
          <w:szCs w:val="22"/>
        </w:rPr>
        <w:t xml:space="preserve">если прибор учета Абонента учитывает </w:t>
      </w:r>
      <w:r w:rsidRPr="008A4A5A">
        <w:rPr>
          <w:sz w:val="22"/>
          <w:szCs w:val="22"/>
        </w:rPr>
        <w:t>потребление иных Абонентов, собственники</w:t>
      </w:r>
      <w:r w:rsidRPr="00B54C6A">
        <w:rPr>
          <w:sz w:val="22"/>
          <w:szCs w:val="22"/>
        </w:rPr>
        <w:t xml:space="preserve"> которых имеют прямые договорные отношения с Организацией, осуществляющей горячее водоснабжение, из общего объема энергоресурса, поданного Организацией, осуществляющей горячее водоснабжение на границу раздела эксплуатационной ответственности сетей Абонента, вычитается объем ресурса, определенный для </w:t>
      </w:r>
      <w:r w:rsidRPr="008A4A5A">
        <w:rPr>
          <w:sz w:val="22"/>
          <w:szCs w:val="22"/>
        </w:rPr>
        <w:t>таких Абонентов.</w:t>
      </w:r>
    </w:p>
    <w:p w:rsidR="00700EC6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8A4A5A">
        <w:rPr>
          <w:rFonts w:cs="Arial CYR"/>
          <w:sz w:val="22"/>
          <w:szCs w:val="22"/>
        </w:rPr>
        <w:t xml:space="preserve">5. При отсутствии у Абонента прибора учета горячей воды на момент заключения настоящего договора, Абонент обеспечивает установку приборов учета горячей воды на всех своих объектах в </w:t>
      </w:r>
      <w:r>
        <w:rPr>
          <w:rFonts w:cs="Arial CYR"/>
          <w:sz w:val="22"/>
          <w:szCs w:val="22"/>
        </w:rPr>
        <w:t>течение 60 дней с даты получения Абонентом настоящего договора.</w:t>
      </w:r>
    </w:p>
    <w:p w:rsidR="00700EC6" w:rsidRPr="00700EC6" w:rsidRDefault="00700EC6" w:rsidP="00700EC6">
      <w:pPr>
        <w:ind w:firstLine="567"/>
        <w:jc w:val="both"/>
        <w:rPr>
          <w:color w:val="000000"/>
          <w:sz w:val="22"/>
          <w:szCs w:val="22"/>
        </w:rPr>
      </w:pPr>
      <w:r w:rsidRPr="00700EC6">
        <w:rPr>
          <w:color w:val="000000"/>
          <w:sz w:val="22"/>
          <w:szCs w:val="22"/>
        </w:rPr>
        <w:t>В период до установки прибора учета и надлежащей его приемки для коммерческих расчетов, а так же в случае выхода из строя, утраты ранее введенного в эксплуатацию  прибора учета или истечения срока его эксплуатации объем потребленной горячей воды определяется расчетным способом в соответствии с Правилами организации коммерческого учета воды, сточных вод.</w:t>
      </w:r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700EC6">
        <w:rPr>
          <w:rFonts w:cs="Arial CYR"/>
          <w:sz w:val="22"/>
          <w:szCs w:val="22"/>
        </w:rPr>
        <w:t>6. При выявлении Организацией, осуществляющей горячее водоснабжение</w:t>
      </w:r>
      <w:r w:rsidRPr="00B54C6A">
        <w:rPr>
          <w:rFonts w:cs="Arial CYR"/>
          <w:sz w:val="22"/>
          <w:szCs w:val="22"/>
        </w:rPr>
        <w:t xml:space="preserve"> </w:t>
      </w:r>
      <w:r w:rsidRPr="00F25BB4">
        <w:rPr>
          <w:rFonts w:cs="Arial CYR"/>
          <w:sz w:val="22"/>
          <w:szCs w:val="22"/>
        </w:rPr>
        <w:t xml:space="preserve">или </w:t>
      </w:r>
      <w:r w:rsidRPr="00F25BB4">
        <w:rPr>
          <w:sz w:val="22"/>
          <w:szCs w:val="22"/>
        </w:rPr>
        <w:t>организацией, осуществляющей транспортировку горячей воды</w:t>
      </w:r>
      <w:r w:rsidRPr="00F25BB4">
        <w:rPr>
          <w:rFonts w:cs="Arial CYR"/>
          <w:sz w:val="22"/>
          <w:szCs w:val="22"/>
        </w:rPr>
        <w:t xml:space="preserve"> бездоговорного потребления, в том числе</w:t>
      </w:r>
      <w:r w:rsidRPr="00B54C6A">
        <w:rPr>
          <w:rFonts w:cs="Arial CYR"/>
          <w:sz w:val="22"/>
          <w:szCs w:val="22"/>
        </w:rPr>
        <w:t xml:space="preserve"> в виде подключения оборудования, потребляющего горячую воду, с нарушением установленного порядка подключения, составляется Акт о выявленном факте.</w:t>
      </w:r>
    </w:p>
    <w:p w:rsidR="00700EC6" w:rsidRPr="00B54C6A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B54C6A">
        <w:rPr>
          <w:color w:val="000000"/>
          <w:sz w:val="22"/>
          <w:szCs w:val="22"/>
        </w:rPr>
        <w:t xml:space="preserve">7. Расчет объема </w:t>
      </w:r>
      <w:r w:rsidRPr="00B54C6A">
        <w:rPr>
          <w:rFonts w:cs="Arial CYR"/>
          <w:sz w:val="22"/>
          <w:szCs w:val="22"/>
        </w:rPr>
        <w:t>бездоговорного</w:t>
      </w:r>
      <w:r w:rsidRPr="00B54C6A">
        <w:rPr>
          <w:color w:val="000000"/>
          <w:sz w:val="22"/>
          <w:szCs w:val="22"/>
        </w:rPr>
        <w:t xml:space="preserve"> потребления и его стоимости осуществляется Организацией, осуществляющей горячее водоснабжение с применением метода учета пропускной способности устройств и сооружений, используемых для присоединения к централизованным системам водоснабжения. Стоимость горячей воды, полученной в результате </w:t>
      </w:r>
      <w:r w:rsidRPr="00B54C6A">
        <w:rPr>
          <w:rFonts w:cs="Arial CYR"/>
          <w:sz w:val="22"/>
          <w:szCs w:val="22"/>
        </w:rPr>
        <w:t>бездоговорного</w:t>
      </w:r>
      <w:r w:rsidRPr="00B54C6A">
        <w:rPr>
          <w:color w:val="000000"/>
          <w:sz w:val="22"/>
          <w:szCs w:val="22"/>
        </w:rPr>
        <w:t xml:space="preserve"> потребления, определяется в соответствии с действующими на дату взыскания тарифами на горячую воду для соответствующей категории потребителей с учетом стоимости услуг по передаче. </w:t>
      </w:r>
    </w:p>
    <w:p w:rsidR="00700EC6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5D771F">
        <w:rPr>
          <w:color w:val="000000"/>
          <w:sz w:val="22"/>
          <w:szCs w:val="22"/>
        </w:rPr>
        <w:t xml:space="preserve">8. При наличии у Абонента объектов, расположенных в многоквартирных домах, подключенных к централизованным сетям горячего водоснабжения, Абонент оплачивает объем горячей воды на общедомовые нужды для таких объектов в адрес </w:t>
      </w:r>
      <w:proofErr w:type="spellStart"/>
      <w:r w:rsidRPr="005D771F">
        <w:rPr>
          <w:color w:val="000000"/>
          <w:sz w:val="22"/>
          <w:szCs w:val="22"/>
        </w:rPr>
        <w:t>домоуправляющей</w:t>
      </w:r>
      <w:proofErr w:type="spellEnd"/>
      <w:r w:rsidRPr="005D771F">
        <w:rPr>
          <w:color w:val="000000"/>
          <w:sz w:val="22"/>
          <w:szCs w:val="22"/>
        </w:rPr>
        <w:t xml:space="preserve"> компании, а при выборе собственниками помещений непосредственной формы управлением многоквартирным домом – в адрес Организации, осуществляющей горячее водоснабжение.</w:t>
      </w:r>
    </w:p>
    <w:p w:rsidR="00600CAB" w:rsidRPr="00600CAB" w:rsidRDefault="00600CAB" w:rsidP="00600CAB">
      <w:pPr>
        <w:ind w:firstLine="567"/>
        <w:jc w:val="both"/>
        <w:rPr>
          <w:color w:val="000000"/>
          <w:sz w:val="22"/>
          <w:szCs w:val="22"/>
        </w:rPr>
      </w:pPr>
      <w:r w:rsidRPr="00E01839">
        <w:rPr>
          <w:color w:val="000000"/>
          <w:sz w:val="22"/>
          <w:szCs w:val="22"/>
        </w:rPr>
        <w:t>Объем потребления горячей воды на ОДН для объектов, входящих в состав многоквартирного дома, собственники которого выбрали непосредственный способ управления, определяется с учетом показаний коллективных (общедомовых) приборов учета, установленных в многоквартирном доме.</w:t>
      </w:r>
    </w:p>
    <w:p w:rsidR="00700EC6" w:rsidRPr="00B54C6A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B54C6A">
        <w:rPr>
          <w:color w:val="000000"/>
          <w:sz w:val="22"/>
          <w:szCs w:val="22"/>
        </w:rPr>
        <w:t xml:space="preserve">9. При наличии разногласий Сторона, не согласная с определением объема потребленной горячей воды заявляет об этом путем отражения в Акте своего особого мнения и оставляет за собой право обратиться в суд. До устранения разногласий путем переговоров или принятия решения судом, объем фактического потребления горячей воды, подлежащий оплате Абонентом, принимается равным гарантированному объему подачи горячей воды за соответствующий период, указанному в Приложении № 4 к </w:t>
      </w:r>
      <w:r>
        <w:rPr>
          <w:color w:val="000000"/>
          <w:sz w:val="22"/>
          <w:szCs w:val="22"/>
        </w:rPr>
        <w:t>Договору</w:t>
      </w:r>
      <w:r w:rsidRPr="00B54C6A">
        <w:rPr>
          <w:color w:val="000000"/>
          <w:sz w:val="22"/>
          <w:szCs w:val="22"/>
        </w:rPr>
        <w:t>.</w:t>
      </w:r>
    </w:p>
    <w:p w:rsidR="00700EC6" w:rsidRDefault="00700EC6" w:rsidP="00700EC6">
      <w:pPr>
        <w:ind w:firstLine="567"/>
        <w:jc w:val="both"/>
        <w:rPr>
          <w:sz w:val="22"/>
          <w:szCs w:val="22"/>
        </w:rPr>
      </w:pPr>
      <w:r w:rsidRPr="008A4A5A">
        <w:rPr>
          <w:sz w:val="22"/>
          <w:szCs w:val="22"/>
        </w:rPr>
        <w:t xml:space="preserve">10. Ежегодно в письменном виде за подписью руководителя (или лица, действующего по доверенности) Абонент заявляет </w:t>
      </w:r>
      <w:r w:rsidRPr="008A4A5A">
        <w:rPr>
          <w:color w:val="000000"/>
          <w:sz w:val="22"/>
          <w:szCs w:val="22"/>
        </w:rPr>
        <w:t xml:space="preserve">Организации, осуществляющей горячее водоснабжение </w:t>
      </w:r>
      <w:r w:rsidRPr="008A4A5A">
        <w:rPr>
          <w:sz w:val="22"/>
          <w:szCs w:val="22"/>
        </w:rPr>
        <w:t xml:space="preserve">договорной (плановый) объем потребления горячей воды </w:t>
      </w:r>
      <w:r w:rsidRPr="008A4A5A">
        <w:rPr>
          <w:sz w:val="22"/>
          <w:szCs w:val="22"/>
          <w:u w:val="single"/>
        </w:rPr>
        <w:t>в срок до 1 марта</w:t>
      </w:r>
      <w:r w:rsidRPr="008A4A5A">
        <w:rPr>
          <w:sz w:val="22"/>
          <w:szCs w:val="22"/>
        </w:rPr>
        <w:t xml:space="preserve"> года, предшествующего году, в котором предполагается поставка </w:t>
      </w:r>
      <w:r w:rsidRPr="008A4A5A">
        <w:rPr>
          <w:sz w:val="22"/>
          <w:szCs w:val="22"/>
        </w:rPr>
        <w:lastRenderedPageBreak/>
        <w:t>горячей воды по каждому объекту потребления. Если объем потребления не заявлен в указанные сроки, в следующем году действуют объемы потребления текущего года.</w:t>
      </w:r>
    </w:p>
    <w:p w:rsidR="005C29E6" w:rsidRPr="00FB7D78" w:rsidRDefault="005C29E6" w:rsidP="00A76504">
      <w:pPr>
        <w:spacing w:line="276" w:lineRule="auto"/>
        <w:jc w:val="center"/>
        <w:rPr>
          <w:b/>
          <w:sz w:val="16"/>
          <w:szCs w:val="16"/>
        </w:rPr>
      </w:pPr>
    </w:p>
    <w:p w:rsidR="000D5B96" w:rsidRPr="00FB7D78" w:rsidRDefault="000D5B96" w:rsidP="00A76504">
      <w:pPr>
        <w:spacing w:line="276" w:lineRule="auto"/>
        <w:jc w:val="center"/>
        <w:rPr>
          <w:b/>
          <w:sz w:val="22"/>
          <w:szCs w:val="22"/>
        </w:rPr>
      </w:pPr>
      <w:r w:rsidRPr="00FB7D78">
        <w:rPr>
          <w:b/>
          <w:sz w:val="22"/>
          <w:szCs w:val="22"/>
        </w:rPr>
        <w:t>ПОДПИСИ СТОРОН</w:t>
      </w:r>
    </w:p>
    <w:p w:rsidR="000D5B96" w:rsidRPr="00FB7D78" w:rsidRDefault="000D5B96" w:rsidP="00A76504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900"/>
        <w:gridCol w:w="4392"/>
      </w:tblGrid>
      <w:tr w:rsidR="000D5B96" w:rsidRPr="00FB7D78" w:rsidTr="00FB7D78">
        <w:trPr>
          <w:trHeight w:val="345"/>
        </w:trPr>
        <w:tc>
          <w:tcPr>
            <w:tcW w:w="4968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FB7D78">
              <w:rPr>
                <w:sz w:val="22"/>
                <w:szCs w:val="22"/>
              </w:rPr>
              <w:t>ТЕПЛОСНАБЖАЮЩАЯ  ОРГАНИЗАЦИЯ</w:t>
            </w:r>
            <w:proofErr w:type="gramEnd"/>
          </w:p>
        </w:tc>
        <w:tc>
          <w:tcPr>
            <w:tcW w:w="900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FB7D78">
              <w:rPr>
                <w:sz w:val="22"/>
                <w:szCs w:val="22"/>
              </w:rPr>
              <w:t>ПОТРЕБИТЕЛЬ</w:t>
            </w:r>
          </w:p>
        </w:tc>
      </w:tr>
      <w:tr w:rsidR="000D5B96" w:rsidRPr="00FB7D78" w:rsidTr="00FB7D78">
        <w:trPr>
          <w:trHeight w:val="139"/>
        </w:trPr>
        <w:tc>
          <w:tcPr>
            <w:tcW w:w="4968" w:type="dxa"/>
            <w:tcBorders>
              <w:bottom w:val="single" w:sz="4" w:space="0" w:color="000000"/>
            </w:tcBorders>
          </w:tcPr>
          <w:p w:rsidR="000D5B96" w:rsidRPr="00FB7D78" w:rsidRDefault="000D5B96" w:rsidP="00A76504">
            <w:pPr>
              <w:snapToGrid w:val="0"/>
              <w:spacing w:before="24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0085A" w:rsidRPr="00FB7D78" w:rsidRDefault="00A0085A" w:rsidP="00FB7D78">
      <w:pPr>
        <w:spacing w:line="276" w:lineRule="auto"/>
        <w:jc w:val="center"/>
        <w:rPr>
          <w:sz w:val="16"/>
          <w:szCs w:val="16"/>
        </w:rPr>
      </w:pPr>
    </w:p>
    <w:sectPr w:rsidR="00A0085A" w:rsidRPr="00FB7D78" w:rsidSect="00FB7D78">
      <w:footnotePr>
        <w:pos w:val="beneathText"/>
      </w:footnotePr>
      <w:pgSz w:w="11905" w:h="16837"/>
      <w:pgMar w:top="426" w:right="70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426"/>
        </w:tabs>
        <w:ind w:left="42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D5B96"/>
    <w:rsid w:val="00025859"/>
    <w:rsid w:val="00030CC3"/>
    <w:rsid w:val="0004516C"/>
    <w:rsid w:val="00067F77"/>
    <w:rsid w:val="000901BB"/>
    <w:rsid w:val="000905CB"/>
    <w:rsid w:val="00090689"/>
    <w:rsid w:val="000A2034"/>
    <w:rsid w:val="000D4C69"/>
    <w:rsid w:val="000D5B96"/>
    <w:rsid w:val="000D6863"/>
    <w:rsid w:val="00101770"/>
    <w:rsid w:val="00160331"/>
    <w:rsid w:val="00163727"/>
    <w:rsid w:val="0018357B"/>
    <w:rsid w:val="001F5768"/>
    <w:rsid w:val="00202440"/>
    <w:rsid w:val="00216E70"/>
    <w:rsid w:val="00245623"/>
    <w:rsid w:val="00277BAB"/>
    <w:rsid w:val="00281F8D"/>
    <w:rsid w:val="0028720E"/>
    <w:rsid w:val="002F1B9F"/>
    <w:rsid w:val="00321CB3"/>
    <w:rsid w:val="00364BED"/>
    <w:rsid w:val="00374EB3"/>
    <w:rsid w:val="00376156"/>
    <w:rsid w:val="00383E49"/>
    <w:rsid w:val="003C561F"/>
    <w:rsid w:val="003F4EDF"/>
    <w:rsid w:val="003F6731"/>
    <w:rsid w:val="004028AF"/>
    <w:rsid w:val="004064DF"/>
    <w:rsid w:val="00452F8F"/>
    <w:rsid w:val="00463478"/>
    <w:rsid w:val="004742F7"/>
    <w:rsid w:val="00475C3C"/>
    <w:rsid w:val="00492EB3"/>
    <w:rsid w:val="004A1FD0"/>
    <w:rsid w:val="004B64AC"/>
    <w:rsid w:val="004D6FBF"/>
    <w:rsid w:val="004E3D3B"/>
    <w:rsid w:val="005306A1"/>
    <w:rsid w:val="00532120"/>
    <w:rsid w:val="00577889"/>
    <w:rsid w:val="00581E28"/>
    <w:rsid w:val="00583000"/>
    <w:rsid w:val="00597926"/>
    <w:rsid w:val="005A52B8"/>
    <w:rsid w:val="005B509F"/>
    <w:rsid w:val="005B70B5"/>
    <w:rsid w:val="005C29E6"/>
    <w:rsid w:val="005D1798"/>
    <w:rsid w:val="00600CAB"/>
    <w:rsid w:val="006211B5"/>
    <w:rsid w:val="00622237"/>
    <w:rsid w:val="00625DDE"/>
    <w:rsid w:val="00642691"/>
    <w:rsid w:val="00683307"/>
    <w:rsid w:val="00697E16"/>
    <w:rsid w:val="006E713C"/>
    <w:rsid w:val="00700EC6"/>
    <w:rsid w:val="007062B2"/>
    <w:rsid w:val="0077408D"/>
    <w:rsid w:val="00790522"/>
    <w:rsid w:val="007A59A2"/>
    <w:rsid w:val="007B5C10"/>
    <w:rsid w:val="007C7D08"/>
    <w:rsid w:val="007D57D3"/>
    <w:rsid w:val="007F2256"/>
    <w:rsid w:val="00824C0E"/>
    <w:rsid w:val="00855B56"/>
    <w:rsid w:val="00870D2B"/>
    <w:rsid w:val="00883414"/>
    <w:rsid w:val="00884049"/>
    <w:rsid w:val="008A7314"/>
    <w:rsid w:val="008C1B95"/>
    <w:rsid w:val="008D063D"/>
    <w:rsid w:val="008D47D4"/>
    <w:rsid w:val="009035DD"/>
    <w:rsid w:val="00933DE4"/>
    <w:rsid w:val="009758F6"/>
    <w:rsid w:val="009A1277"/>
    <w:rsid w:val="009D5F6B"/>
    <w:rsid w:val="009E48E8"/>
    <w:rsid w:val="00A0085A"/>
    <w:rsid w:val="00A5380C"/>
    <w:rsid w:val="00A76504"/>
    <w:rsid w:val="00A80550"/>
    <w:rsid w:val="00A918BA"/>
    <w:rsid w:val="00B16C9F"/>
    <w:rsid w:val="00B56CC5"/>
    <w:rsid w:val="00B71182"/>
    <w:rsid w:val="00B80DE8"/>
    <w:rsid w:val="00BB1880"/>
    <w:rsid w:val="00BD09B8"/>
    <w:rsid w:val="00BE07F5"/>
    <w:rsid w:val="00C027BA"/>
    <w:rsid w:val="00C118DC"/>
    <w:rsid w:val="00C372D7"/>
    <w:rsid w:val="00C43934"/>
    <w:rsid w:val="00C55727"/>
    <w:rsid w:val="00C767EC"/>
    <w:rsid w:val="00C959CB"/>
    <w:rsid w:val="00CA35AC"/>
    <w:rsid w:val="00D47E20"/>
    <w:rsid w:val="00D51418"/>
    <w:rsid w:val="00D72AF9"/>
    <w:rsid w:val="00D91E65"/>
    <w:rsid w:val="00DB095F"/>
    <w:rsid w:val="00DC1CDA"/>
    <w:rsid w:val="00DD0633"/>
    <w:rsid w:val="00DF1E56"/>
    <w:rsid w:val="00DF5439"/>
    <w:rsid w:val="00E01839"/>
    <w:rsid w:val="00E02207"/>
    <w:rsid w:val="00E23932"/>
    <w:rsid w:val="00E26C11"/>
    <w:rsid w:val="00E2705C"/>
    <w:rsid w:val="00E27C30"/>
    <w:rsid w:val="00E44F16"/>
    <w:rsid w:val="00E50B74"/>
    <w:rsid w:val="00E7436E"/>
    <w:rsid w:val="00E7576E"/>
    <w:rsid w:val="00EF479E"/>
    <w:rsid w:val="00F043FE"/>
    <w:rsid w:val="00F1193B"/>
    <w:rsid w:val="00F17D0F"/>
    <w:rsid w:val="00F831E6"/>
    <w:rsid w:val="00F83C71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F6794-C05D-4AE3-890F-BE4B359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34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A203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0A2034"/>
    <w:pPr>
      <w:keepNext/>
      <w:numPr>
        <w:ilvl w:val="8"/>
        <w:numId w:val="1"/>
      </w:numPr>
      <w:shd w:val="clear" w:color="auto" w:fill="FFFFFF"/>
      <w:jc w:val="right"/>
      <w:outlineLvl w:val="8"/>
    </w:pPr>
    <w:rPr>
      <w:b/>
      <w:color w:val="000000"/>
      <w:spacing w:val="-7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A2034"/>
  </w:style>
  <w:style w:type="character" w:customStyle="1" w:styleId="Absatz-Standardschriftart">
    <w:name w:val="Absatz-Standardschriftart"/>
    <w:rsid w:val="000A2034"/>
  </w:style>
  <w:style w:type="character" w:customStyle="1" w:styleId="WW-Absatz-Standardschriftart">
    <w:name w:val="WW-Absatz-Standardschriftart"/>
    <w:rsid w:val="000A2034"/>
  </w:style>
  <w:style w:type="character" w:customStyle="1" w:styleId="20">
    <w:name w:val="Основной шрифт абзаца2"/>
    <w:rsid w:val="000A2034"/>
  </w:style>
  <w:style w:type="character" w:customStyle="1" w:styleId="WW-Absatz-Standardschriftart1">
    <w:name w:val="WW-Absatz-Standardschriftart1"/>
    <w:rsid w:val="000A2034"/>
  </w:style>
  <w:style w:type="character" w:customStyle="1" w:styleId="WW-Absatz-Standardschriftart11">
    <w:name w:val="WW-Absatz-Standardschriftart11"/>
    <w:rsid w:val="000A2034"/>
  </w:style>
  <w:style w:type="character" w:customStyle="1" w:styleId="1">
    <w:name w:val="Основной шрифт абзаца1"/>
    <w:rsid w:val="000A2034"/>
  </w:style>
  <w:style w:type="character" w:customStyle="1" w:styleId="a3">
    <w:name w:val="Маркеры списка"/>
    <w:rsid w:val="000A2034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0A20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A2034"/>
    <w:pPr>
      <w:jc w:val="center"/>
    </w:pPr>
    <w:rPr>
      <w:b/>
      <w:sz w:val="24"/>
    </w:rPr>
  </w:style>
  <w:style w:type="paragraph" w:styleId="a6">
    <w:name w:val="List"/>
    <w:basedOn w:val="a5"/>
    <w:semiHidden/>
    <w:rsid w:val="000A2034"/>
    <w:rPr>
      <w:rFonts w:ascii="Arial" w:hAnsi="Arial" w:cs="Tahoma"/>
    </w:rPr>
  </w:style>
  <w:style w:type="paragraph" w:customStyle="1" w:styleId="30">
    <w:name w:val="Название3"/>
    <w:basedOn w:val="a"/>
    <w:rsid w:val="000A203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0A2034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0A203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0A2034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A203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A2034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0A2034"/>
    <w:pPr>
      <w:shd w:val="clear" w:color="auto" w:fill="FFFFFF"/>
    </w:pPr>
    <w:rPr>
      <w:b/>
      <w:color w:val="000000"/>
      <w:spacing w:val="-5"/>
      <w:sz w:val="23"/>
    </w:rPr>
  </w:style>
  <w:style w:type="paragraph" w:styleId="a7">
    <w:name w:val="Balloon Text"/>
    <w:basedOn w:val="a"/>
    <w:rsid w:val="000A203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A2034"/>
    <w:pPr>
      <w:suppressLineNumbers/>
    </w:pPr>
  </w:style>
  <w:style w:type="paragraph" w:customStyle="1" w:styleId="a9">
    <w:name w:val="Заголовок таблицы"/>
    <w:basedOn w:val="a8"/>
    <w:rsid w:val="000A2034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A2034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Normal">
    <w:name w:val="ConsNormal"/>
    <w:rsid w:val="00F17D0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nhideWhenUsed/>
    <w:rsid w:val="00374EB3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74EB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</vt:lpstr>
    </vt:vector>
  </TitlesOfParts>
  <Company>1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</dc:title>
  <dc:subject/>
  <dc:creator>BakulevaGL</dc:creator>
  <cp:keywords/>
  <cp:lastModifiedBy>Осоковский Виктор Сергеевич</cp:lastModifiedBy>
  <cp:revision>7</cp:revision>
  <cp:lastPrinted>2013-01-31T11:28:00Z</cp:lastPrinted>
  <dcterms:created xsi:type="dcterms:W3CDTF">2015-12-01T14:11:00Z</dcterms:created>
  <dcterms:modified xsi:type="dcterms:W3CDTF">2017-05-11T11:58:00Z</dcterms:modified>
</cp:coreProperties>
</file>